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2017年度东营市优秀律师事务所名单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（排名不分先后）</w:t>
      </w:r>
    </w:p>
    <w:p>
      <w:pPr>
        <w:rPr>
          <w:rFonts w:hint="eastAsia"/>
        </w:rPr>
      </w:pPr>
    </w:p>
    <w:p>
      <w:pPr>
        <w:ind w:firstLine="2080" w:firstLineChars="650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color w:val="0D0D0D"/>
          <w:sz w:val="32"/>
          <w:szCs w:val="32"/>
        </w:rPr>
        <w:t>山东达洋律师事务所</w:t>
      </w:r>
    </w:p>
    <w:p>
      <w:pPr>
        <w:ind w:firstLine="2080" w:firstLineChars="650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color w:val="0D0D0D"/>
          <w:sz w:val="32"/>
          <w:szCs w:val="32"/>
        </w:rPr>
        <w:t>山东东胜律师事务所</w:t>
      </w:r>
    </w:p>
    <w:p>
      <w:pPr>
        <w:ind w:firstLine="2080" w:firstLineChars="650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color w:val="0D0D0D"/>
          <w:sz w:val="32"/>
          <w:szCs w:val="32"/>
        </w:rPr>
        <w:t>山东康桥（东营）律师事务所</w:t>
      </w:r>
    </w:p>
    <w:p>
      <w:pPr>
        <w:ind w:firstLine="2080" w:firstLineChars="650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color w:val="0D0D0D"/>
          <w:sz w:val="32"/>
          <w:szCs w:val="32"/>
        </w:rPr>
        <w:t>山东瀛超律师事务所</w:t>
      </w:r>
    </w:p>
    <w:p>
      <w:pPr>
        <w:ind w:firstLine="2080" w:firstLineChars="650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color w:val="0D0D0D"/>
          <w:sz w:val="32"/>
          <w:szCs w:val="32"/>
        </w:rPr>
        <w:t>山东曦宁律师事务所</w:t>
      </w:r>
    </w:p>
    <w:p>
      <w:pPr>
        <w:ind w:firstLine="2080" w:firstLineChars="650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color w:val="0D0D0D"/>
          <w:sz w:val="32"/>
          <w:szCs w:val="32"/>
        </w:rPr>
        <w:t>山东广胜律师事务所</w:t>
      </w:r>
    </w:p>
    <w:p>
      <w:pPr>
        <w:ind w:firstLine="2080" w:firstLineChars="650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color w:val="0D0D0D"/>
          <w:sz w:val="32"/>
          <w:szCs w:val="32"/>
        </w:rPr>
        <w:t>山东诚正勤律师事务所</w:t>
      </w:r>
    </w:p>
    <w:p>
      <w:pPr>
        <w:ind w:firstLine="2080" w:firstLineChars="650"/>
        <w:rPr>
          <w:rFonts w:hint="eastAsia" w:ascii="仿宋_GB2312" w:eastAsia="仿宋_GB2312"/>
          <w:color w:val="FF0000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DD"/>
    <w:rsid w:val="00282EE6"/>
    <w:rsid w:val="00E813DD"/>
    <w:rsid w:val="00F567D6"/>
    <w:rsid w:val="38C17025"/>
    <w:rsid w:val="398866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126</Characters>
  <Lines>1</Lines>
  <Paragraphs>1</Paragraphs>
  <ScaleCrop>false</ScaleCrop>
  <LinksUpToDate>false</LinksUpToDate>
  <CharactersWithSpaces>147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2016-04-08T08:33:00Z</dcterms:created>
  <dc:creator>微软用户</dc:creator>
  <cp:lastModifiedBy>Administrator</cp:lastModifiedBy>
  <cp:lastPrinted>2016-04-08T08:38:00Z</cp:lastPrinted>
  <dcterms:modified xsi:type="dcterms:W3CDTF">2018-03-24T09:07:33Z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