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94" w:rsidRPr="00B77BC7" w:rsidRDefault="00DA2E94" w:rsidP="00DA2E94">
      <w:pPr>
        <w:rPr>
          <w:rFonts w:ascii="黑体" w:eastAsia="黑体" w:hint="eastAsia"/>
          <w:sz w:val="32"/>
          <w:szCs w:val="32"/>
        </w:rPr>
      </w:pPr>
      <w:r w:rsidRPr="00B77BC7">
        <w:rPr>
          <w:rFonts w:ascii="黑体" w:eastAsia="黑体" w:hint="eastAsia"/>
          <w:sz w:val="32"/>
          <w:szCs w:val="32"/>
        </w:rPr>
        <w:t>附：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3月24日</w:t>
      </w:r>
      <w:r w:rsidRPr="004C42F9">
        <w:rPr>
          <w:rFonts w:ascii="宋体" w:eastAsia="仿宋_GB2312" w:hAnsi="宋体" w:cs="宋体" w:hint="eastAsia"/>
          <w:sz w:val="32"/>
          <w:szCs w:val="32"/>
        </w:rPr>
        <w:t>  </w:t>
      </w:r>
      <w:r w:rsidRPr="004C42F9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4C42F9">
        <w:rPr>
          <w:rFonts w:ascii="宋体" w:eastAsia="仿宋_GB2312" w:hAnsi="宋体" w:cs="宋体" w:hint="eastAsia"/>
          <w:sz w:val="32"/>
          <w:szCs w:val="32"/>
        </w:rPr>
        <w:t> </w:t>
      </w:r>
    </w:p>
    <w:p w:rsidR="00DA2E94" w:rsidRPr="004C42F9" w:rsidRDefault="00DA2E94" w:rsidP="00DA2E94">
      <w:pPr>
        <w:adjustRightInd w:val="0"/>
        <w:snapToGrid w:val="0"/>
        <w:spacing w:line="460" w:lineRule="atLeast"/>
        <w:rPr>
          <w:rFonts w:ascii="仿宋_GB2312" w:eastAsia="仿宋_GB2312" w:hint="eastAsia"/>
        </w:rPr>
      </w:pP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课程：</w:t>
      </w:r>
      <w:r w:rsidRPr="004C42F9">
        <w:rPr>
          <w:rFonts w:ascii="仿宋_GB2312" w:eastAsia="仿宋_GB2312" w:hAnsi="仿宋" w:hint="eastAsia"/>
          <w:sz w:val="32"/>
          <w:szCs w:val="32"/>
        </w:rPr>
        <w:t>股权的法律保护及相关典型案例解析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专题</w:t>
      </w:r>
      <w:proofErr w:type="gramStart"/>
      <w:r w:rsidRPr="004C42F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4C42F9">
        <w:rPr>
          <w:rFonts w:ascii="仿宋_GB2312" w:eastAsia="仿宋_GB2312" w:hAnsi="仿宋" w:hint="eastAsia"/>
          <w:sz w:val="32"/>
          <w:szCs w:val="32"/>
        </w:rPr>
        <w:t>：股权的法律性质及其内容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专题二：《公司法司法解释（四）》与股东权的保护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一、股东知情权纠纷案件的裁判标准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二、利润分配纠纷案件的裁判标准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三、异议股东收购请求权纠纷案件的裁判标准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四、其他股东权利纠纷案件的裁判标准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专题三：有关股东权利保护的典型案例解析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一、有关有限责任公司股权保护的典型案例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二、有关股份有限公司股权保护的典型案例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2E94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3月25日</w:t>
      </w:r>
      <w:r w:rsidRPr="004C42F9">
        <w:rPr>
          <w:rFonts w:ascii="宋体" w:eastAsia="仿宋_GB2312" w:hAnsi="宋体" w:cs="宋体" w:hint="eastAsia"/>
          <w:sz w:val="32"/>
          <w:szCs w:val="32"/>
        </w:rPr>
        <w:t>  </w:t>
      </w:r>
      <w:r w:rsidRPr="004C42F9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4C42F9">
        <w:rPr>
          <w:rFonts w:ascii="宋体" w:eastAsia="仿宋_GB2312" w:hAnsi="宋体" w:cs="宋体" w:hint="eastAsia"/>
          <w:sz w:val="32"/>
          <w:szCs w:val="32"/>
        </w:rPr>
        <w:t> 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课程：公司治理结构及其司法审查标准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专题</w:t>
      </w:r>
      <w:proofErr w:type="gramStart"/>
      <w:r w:rsidRPr="004C42F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4C42F9">
        <w:rPr>
          <w:rFonts w:ascii="仿宋_GB2312" w:eastAsia="仿宋_GB2312" w:hAnsi="仿宋" w:hint="eastAsia"/>
          <w:sz w:val="32"/>
          <w:szCs w:val="32"/>
        </w:rPr>
        <w:t>：公司治理结构及其完善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一、公司治理结构的经济意义与法律意义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二、我国公司治理结构的缺陷及其表现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三、《民法总则》与公司治理结构的完善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专题二：公司治理的司法审查标准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一、公司人格否认纠纷案件的裁判标准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二、公司对外提供担保的效力认定规则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三、公司治理司法审查的典型案例解析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专题三：</w:t>
      </w:r>
      <w:proofErr w:type="gramStart"/>
      <w:r w:rsidRPr="004C42F9">
        <w:rPr>
          <w:rFonts w:ascii="仿宋_GB2312" w:eastAsia="仿宋_GB2312" w:hAnsi="仿宋" w:hint="eastAsia"/>
          <w:sz w:val="32"/>
          <w:szCs w:val="32"/>
        </w:rPr>
        <w:t>董监高的</w:t>
      </w:r>
      <w:proofErr w:type="gramEnd"/>
      <w:r w:rsidRPr="004C42F9">
        <w:rPr>
          <w:rFonts w:ascii="仿宋_GB2312" w:eastAsia="仿宋_GB2312" w:hAnsi="仿宋" w:hint="eastAsia"/>
          <w:sz w:val="32"/>
          <w:szCs w:val="32"/>
        </w:rPr>
        <w:t>法律责任与追究机制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一、</w:t>
      </w:r>
      <w:proofErr w:type="gramStart"/>
      <w:r w:rsidRPr="004C42F9">
        <w:rPr>
          <w:rFonts w:ascii="仿宋_GB2312" w:eastAsia="仿宋_GB2312" w:hAnsi="仿宋" w:hint="eastAsia"/>
          <w:sz w:val="32"/>
          <w:szCs w:val="32"/>
        </w:rPr>
        <w:t>董监高的</w:t>
      </w:r>
      <w:proofErr w:type="gramEnd"/>
      <w:r w:rsidRPr="004C42F9">
        <w:rPr>
          <w:rFonts w:ascii="仿宋_GB2312" w:eastAsia="仿宋_GB2312" w:hAnsi="仿宋" w:hint="eastAsia"/>
          <w:sz w:val="32"/>
          <w:szCs w:val="32"/>
        </w:rPr>
        <w:t>法律地位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二、</w:t>
      </w:r>
      <w:proofErr w:type="gramStart"/>
      <w:r w:rsidRPr="004C42F9">
        <w:rPr>
          <w:rFonts w:ascii="仿宋_GB2312" w:eastAsia="仿宋_GB2312" w:hAnsi="仿宋" w:hint="eastAsia"/>
          <w:sz w:val="32"/>
          <w:szCs w:val="32"/>
        </w:rPr>
        <w:t>董监高的</w:t>
      </w:r>
      <w:proofErr w:type="gramEnd"/>
      <w:r w:rsidRPr="004C42F9">
        <w:rPr>
          <w:rFonts w:ascii="仿宋_GB2312" w:eastAsia="仿宋_GB2312" w:hAnsi="仿宋" w:hint="eastAsia"/>
          <w:sz w:val="32"/>
          <w:szCs w:val="32"/>
        </w:rPr>
        <w:t>义务和责任</w:t>
      </w:r>
    </w:p>
    <w:p w:rsidR="00DA2E94" w:rsidRPr="004C42F9" w:rsidRDefault="00DA2E94" w:rsidP="00DA2E94">
      <w:pPr>
        <w:adjustRightInd w:val="0"/>
        <w:snapToGrid w:val="0"/>
        <w:spacing w:line="46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4C42F9">
        <w:rPr>
          <w:rFonts w:ascii="仿宋_GB2312" w:eastAsia="仿宋_GB2312" w:hAnsi="仿宋" w:hint="eastAsia"/>
          <w:sz w:val="32"/>
          <w:szCs w:val="32"/>
        </w:rPr>
        <w:t>三、股东代表诉讼制度的适用</w:t>
      </w:r>
    </w:p>
    <w:p w:rsidR="0052664B" w:rsidRPr="00DA2E94" w:rsidRDefault="0052664B"/>
    <w:sectPr w:rsidR="0052664B" w:rsidRPr="00DA2E94" w:rsidSect="0011755F">
      <w:pgSz w:w="11906" w:h="16838"/>
      <w:pgMar w:top="1474" w:right="1758" w:bottom="1474" w:left="175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E94"/>
    <w:rsid w:val="0052664B"/>
    <w:rsid w:val="00DA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2018-03-22T06:45:00Z</dcterms:created>
  <dcterms:modified xsi:type="dcterms:W3CDTF">2018-03-22T06:45:00Z</dcterms:modified>
</cp:coreProperties>
</file>